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DD" w:rsidRDefault="00C70883" w:rsidP="00C70883">
      <w:pPr>
        <w:jc w:val="right"/>
        <w:rPr>
          <w:sz w:val="22"/>
          <w:szCs w:val="22"/>
        </w:rPr>
      </w:pPr>
      <w:r>
        <w:rPr>
          <w:sz w:val="22"/>
          <w:szCs w:val="22"/>
        </w:rPr>
        <w:t>Приложение №2 к Закупочной документации</w:t>
      </w:r>
    </w:p>
    <w:p w:rsidR="00C70883" w:rsidRPr="00C70883" w:rsidRDefault="00C70883" w:rsidP="00C70883">
      <w:pPr>
        <w:jc w:val="right"/>
        <w:rPr>
          <w:sz w:val="22"/>
          <w:szCs w:val="22"/>
        </w:rPr>
      </w:pPr>
      <w:r>
        <w:rPr>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C14FB5" w:rsidRPr="00C14FB5" w:rsidRDefault="00C14FB5" w:rsidP="00C14FB5">
      <w:pPr>
        <w:tabs>
          <w:tab w:val="left" w:pos="4504"/>
          <w:tab w:val="left" w:pos="7371"/>
          <w:tab w:val="left" w:pos="8287"/>
        </w:tabs>
        <w:jc w:val="center"/>
        <w:rPr>
          <w:b/>
          <w:color w:val="000000"/>
          <w:sz w:val="22"/>
          <w:szCs w:val="22"/>
        </w:rPr>
      </w:pPr>
      <w:r>
        <w:rPr>
          <w:b/>
          <w:color w:val="000000"/>
          <w:sz w:val="22"/>
          <w:szCs w:val="22"/>
        </w:rPr>
        <w:t>на выполнение работ по р</w:t>
      </w:r>
      <w:r w:rsidRPr="00C14FB5">
        <w:rPr>
          <w:b/>
          <w:color w:val="000000"/>
          <w:sz w:val="22"/>
          <w:szCs w:val="22"/>
        </w:rPr>
        <w:t>емонт</w:t>
      </w:r>
      <w:r>
        <w:rPr>
          <w:b/>
          <w:color w:val="000000"/>
          <w:sz w:val="22"/>
          <w:szCs w:val="22"/>
        </w:rPr>
        <w:t>у</w:t>
      </w:r>
      <w:r w:rsidRPr="00C14FB5">
        <w:rPr>
          <w:b/>
          <w:color w:val="000000"/>
          <w:sz w:val="22"/>
          <w:szCs w:val="22"/>
        </w:rPr>
        <w:t xml:space="preserve"> кровельного покрытия здания</w:t>
      </w:r>
    </w:p>
    <w:p w:rsidR="00C14FB5" w:rsidRPr="00C14FB5" w:rsidRDefault="00C14FB5" w:rsidP="00C14FB5">
      <w:pPr>
        <w:tabs>
          <w:tab w:val="left" w:pos="4504"/>
          <w:tab w:val="left" w:pos="7371"/>
          <w:tab w:val="left" w:pos="8287"/>
        </w:tabs>
        <w:jc w:val="center"/>
        <w:rPr>
          <w:b/>
          <w:color w:val="000000"/>
          <w:sz w:val="22"/>
          <w:szCs w:val="22"/>
        </w:rPr>
      </w:pPr>
      <w:r w:rsidRPr="00C14FB5">
        <w:rPr>
          <w:b/>
          <w:color w:val="000000"/>
          <w:sz w:val="22"/>
          <w:szCs w:val="22"/>
        </w:rPr>
        <w:t>ТНС №27 по ул. Володарского</w:t>
      </w:r>
    </w:p>
    <w:p w:rsidR="00C14FB5" w:rsidRPr="00C14FB5" w:rsidRDefault="00C14FB5" w:rsidP="00C14FB5">
      <w:pPr>
        <w:tabs>
          <w:tab w:val="left" w:pos="4504"/>
          <w:tab w:val="left" w:pos="7371"/>
          <w:tab w:val="left" w:pos="8287"/>
        </w:tabs>
        <w:jc w:val="both"/>
        <w:rPr>
          <w:b/>
          <w:color w:val="000000"/>
          <w:sz w:val="22"/>
          <w:szCs w:val="22"/>
        </w:rPr>
      </w:pP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r w:rsidR="001F373F">
        <w:rPr>
          <w:sz w:val="22"/>
          <w:szCs w:val="22"/>
        </w:rPr>
        <w:t xml:space="preserve">              «    » апреля</w:t>
      </w:r>
      <w:r w:rsidR="00057615">
        <w:rPr>
          <w:sz w:val="22"/>
          <w:szCs w:val="22"/>
        </w:rPr>
        <w:t xml:space="preserve"> 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3440A">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0869AE"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1144DA" w:rsidRPr="001144DA" w:rsidRDefault="00D56648" w:rsidP="002446DB">
      <w:pPr>
        <w:widowControl w:val="0"/>
        <w:autoSpaceDE w:val="0"/>
        <w:autoSpaceDN w:val="0"/>
        <w:adjustRightInd w:val="0"/>
        <w:jc w:val="center"/>
        <w:rPr>
          <w:b/>
          <w:sz w:val="22"/>
          <w:szCs w:val="22"/>
        </w:rPr>
      </w:pPr>
      <w:r>
        <w:rPr>
          <w:b/>
          <w:sz w:val="22"/>
          <w:szCs w:val="22"/>
        </w:rPr>
        <w:t>8</w:t>
      </w:r>
      <w:r w:rsidR="001144DA" w:rsidRPr="001144DA">
        <w:rPr>
          <w:b/>
          <w:sz w:val="22"/>
          <w:szCs w:val="22"/>
        </w:rPr>
        <w:t>. Рассмотрение споров</w:t>
      </w:r>
    </w:p>
    <w:p w:rsidR="001144DA" w:rsidRPr="001144DA" w:rsidRDefault="00D56648" w:rsidP="002446DB">
      <w:pPr>
        <w:widowControl w:val="0"/>
        <w:autoSpaceDE w:val="0"/>
        <w:autoSpaceDN w:val="0"/>
        <w:adjustRightInd w:val="0"/>
        <w:jc w:val="both"/>
        <w:rPr>
          <w:sz w:val="22"/>
          <w:szCs w:val="22"/>
        </w:rPr>
      </w:pPr>
      <w:r>
        <w:rPr>
          <w:sz w:val="22"/>
          <w:szCs w:val="22"/>
        </w:rPr>
        <w:t>8</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D56648" w:rsidP="002446DB">
      <w:pPr>
        <w:widowControl w:val="0"/>
        <w:autoSpaceDE w:val="0"/>
        <w:autoSpaceDN w:val="0"/>
        <w:adjustRightInd w:val="0"/>
        <w:jc w:val="both"/>
        <w:rPr>
          <w:sz w:val="22"/>
          <w:szCs w:val="22"/>
        </w:rPr>
      </w:pPr>
      <w:r>
        <w:rPr>
          <w:sz w:val="22"/>
          <w:szCs w:val="22"/>
        </w:rPr>
        <w:t>8</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D56648"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Срок действия договора</w:t>
      </w:r>
    </w:p>
    <w:p w:rsidR="001144DA" w:rsidRDefault="00D56648" w:rsidP="002446DB">
      <w:pPr>
        <w:widowControl w:val="0"/>
        <w:autoSpaceDE w:val="0"/>
        <w:autoSpaceDN w:val="0"/>
        <w:adjustRightInd w:val="0"/>
        <w:jc w:val="both"/>
        <w:rPr>
          <w:sz w:val="22"/>
          <w:szCs w:val="22"/>
        </w:rPr>
      </w:pPr>
      <w:r>
        <w:rPr>
          <w:sz w:val="22"/>
          <w:szCs w:val="22"/>
        </w:rPr>
        <w:t>9</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C25D7C">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6458E8">
        <w:rPr>
          <w:b/>
          <w:sz w:val="22"/>
          <w:szCs w:val="22"/>
        </w:rPr>
        <w:t>0</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6458E8">
        <w:rPr>
          <w:sz w:val="22"/>
          <w:szCs w:val="22"/>
        </w:rPr>
        <w:t>0</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6458E8">
        <w:rPr>
          <w:sz w:val="22"/>
          <w:szCs w:val="22"/>
          <w:lang w:eastAsia="ar-SA"/>
        </w:rPr>
        <w:t>0</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6458E8">
        <w:rPr>
          <w:rFonts w:eastAsia="Calibri"/>
          <w:sz w:val="22"/>
          <w:szCs w:val="22"/>
          <w:lang w:eastAsia="en-US"/>
        </w:rPr>
        <w:t>0</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6458E8">
        <w:rPr>
          <w:sz w:val="22"/>
          <w:szCs w:val="22"/>
          <w:lang w:eastAsia="ar-SA"/>
        </w:rPr>
        <w:t>0</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6458E8">
        <w:rPr>
          <w:sz w:val="22"/>
          <w:szCs w:val="22"/>
          <w:lang w:eastAsia="ar-SA"/>
        </w:rPr>
        <w:t>0</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lastRenderedPageBreak/>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sidR="005364C8">
              <w:rPr>
                <w:rFonts w:eastAsia="Calibri"/>
                <w:sz w:val="22"/>
                <w:szCs w:val="22"/>
                <w:lang w:eastAsia="en-US"/>
              </w:rPr>
              <w:t>, Свердловская область,</w:t>
            </w:r>
            <w:r w:rsidRPr="00372BD1">
              <w:rPr>
                <w:rFonts w:eastAsia="Calibri"/>
                <w:sz w:val="22"/>
                <w:szCs w:val="22"/>
                <w:lang w:eastAsia="en-US"/>
              </w:rPr>
              <w:t xml:space="preserve"> г. Нижний Тагил</w:t>
            </w:r>
            <w:r w:rsidR="005364C8">
              <w:rPr>
                <w:rFonts w:eastAsia="Calibri"/>
                <w:sz w:val="22"/>
                <w:szCs w:val="22"/>
                <w:lang w:eastAsia="en-US"/>
              </w:rPr>
              <w:t>,</w:t>
            </w:r>
            <w:r w:rsidRPr="00372BD1">
              <w:rPr>
                <w:rFonts w:eastAsia="Calibri"/>
                <w:sz w:val="22"/>
                <w:szCs w:val="22"/>
                <w:lang w:eastAsia="en-US"/>
              </w:rPr>
              <w:t xml:space="preserve"> ул. Крупской, здание 5Б строение 1</w:t>
            </w:r>
          </w:p>
          <w:p w:rsidR="00AD5A95" w:rsidRPr="00372BD1" w:rsidRDefault="000869AE" w:rsidP="00372BD1">
            <w:pPr>
              <w:widowControl w:val="0"/>
              <w:shd w:val="clear" w:color="auto" w:fill="FFFFFF"/>
              <w:suppressAutoHyphens/>
              <w:rPr>
                <w:rFonts w:eastAsia="Calibri"/>
                <w:sz w:val="22"/>
                <w:szCs w:val="22"/>
                <w:lang w:eastAsia="en-US"/>
              </w:rPr>
            </w:pPr>
            <w:r>
              <w:rPr>
                <w:rFonts w:eastAsia="Calibri"/>
                <w:sz w:val="22"/>
                <w:szCs w:val="22"/>
                <w:lang w:eastAsia="en-US"/>
              </w:rPr>
              <w:t>Почтовый/</w:t>
            </w:r>
            <w:r w:rsidR="00AD5A95">
              <w:rPr>
                <w:rFonts w:eastAsia="Calibri"/>
                <w:sz w:val="22"/>
                <w:szCs w:val="22"/>
                <w:lang w:eastAsia="en-US"/>
              </w:rPr>
              <w:t>Фактический адрес:</w:t>
            </w:r>
            <w:r w:rsidR="00AD5A95">
              <w:t xml:space="preserve"> </w:t>
            </w:r>
            <w:r w:rsidR="00AD5A95" w:rsidRPr="00AD5A95">
              <w:rPr>
                <w:rFonts w:eastAsia="Calibri"/>
                <w:sz w:val="22"/>
                <w:szCs w:val="22"/>
                <w:lang w:eastAsia="en-US"/>
              </w:rPr>
              <w:t>622051, Свердловская область,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hyperlink r:id="rId13" w:history="1">
              <w:r w:rsidR="00945788" w:rsidRPr="007F784C">
                <w:rPr>
                  <w:rStyle w:val="afa"/>
                  <w:rFonts w:eastAsia="Calibri"/>
                  <w:sz w:val="22"/>
                  <w:szCs w:val="22"/>
                  <w:lang w:eastAsia="en-US"/>
                </w:rPr>
                <w:t>post@ge-nt.ru</w:t>
              </w:r>
            </w:hyperlink>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945788">
              <w:rPr>
                <w:rFonts w:eastAsia="Calibri"/>
                <w:sz w:val="22"/>
                <w:szCs w:val="22"/>
                <w:lang w:eastAsia="en-US"/>
              </w:rPr>
              <w:t xml:space="preserve">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B23EBB"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bookmarkStart w:id="2" w:name="_GoBack"/>
            <w:bookmarkEnd w:id="2"/>
          </w:p>
        </w:tc>
      </w:tr>
    </w:tbl>
    <w:p w:rsidR="005302A2" w:rsidRPr="005302A2" w:rsidRDefault="005302A2" w:rsidP="00057615">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0869AE">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57615"/>
    <w:rsid w:val="00061A12"/>
    <w:rsid w:val="00061BC9"/>
    <w:rsid w:val="00070BE8"/>
    <w:rsid w:val="00070CDA"/>
    <w:rsid w:val="00084302"/>
    <w:rsid w:val="000869AE"/>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D7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0EBA"/>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373F"/>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431"/>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28E6"/>
    <w:rsid w:val="003E4F0A"/>
    <w:rsid w:val="003E7CE7"/>
    <w:rsid w:val="003F77D8"/>
    <w:rsid w:val="004027CF"/>
    <w:rsid w:val="00417610"/>
    <w:rsid w:val="00420E49"/>
    <w:rsid w:val="0043265D"/>
    <w:rsid w:val="0043440A"/>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364C8"/>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249DD"/>
    <w:rsid w:val="0063365F"/>
    <w:rsid w:val="00633E0E"/>
    <w:rsid w:val="006363DE"/>
    <w:rsid w:val="00640779"/>
    <w:rsid w:val="006424D0"/>
    <w:rsid w:val="006458E8"/>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D558A"/>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1526"/>
    <w:rsid w:val="009F4DF3"/>
    <w:rsid w:val="009F5200"/>
    <w:rsid w:val="009F5243"/>
    <w:rsid w:val="00A051D6"/>
    <w:rsid w:val="00A05C5A"/>
    <w:rsid w:val="00A1684F"/>
    <w:rsid w:val="00A22B9F"/>
    <w:rsid w:val="00A22D3E"/>
    <w:rsid w:val="00A257D1"/>
    <w:rsid w:val="00A2609B"/>
    <w:rsid w:val="00A27000"/>
    <w:rsid w:val="00A270A7"/>
    <w:rsid w:val="00A271C8"/>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D5A95"/>
    <w:rsid w:val="00AE2656"/>
    <w:rsid w:val="00AF0A1A"/>
    <w:rsid w:val="00AF0CCD"/>
    <w:rsid w:val="00AF4593"/>
    <w:rsid w:val="00AF54AC"/>
    <w:rsid w:val="00B03144"/>
    <w:rsid w:val="00B14B2B"/>
    <w:rsid w:val="00B20E2F"/>
    <w:rsid w:val="00B23EBB"/>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4FB5"/>
    <w:rsid w:val="00C16292"/>
    <w:rsid w:val="00C17896"/>
    <w:rsid w:val="00C205CA"/>
    <w:rsid w:val="00C2125D"/>
    <w:rsid w:val="00C21A04"/>
    <w:rsid w:val="00C25D7C"/>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27DBF"/>
    <w:rsid w:val="00D31124"/>
    <w:rsid w:val="00D31FF9"/>
    <w:rsid w:val="00D32B08"/>
    <w:rsid w:val="00D344B9"/>
    <w:rsid w:val="00D346CE"/>
    <w:rsid w:val="00D35CF0"/>
    <w:rsid w:val="00D47310"/>
    <w:rsid w:val="00D513C6"/>
    <w:rsid w:val="00D513D3"/>
    <w:rsid w:val="00D51672"/>
    <w:rsid w:val="00D536F8"/>
    <w:rsid w:val="00D5664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572F"/>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6B2E"/>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51C2-B719-4A4C-B08B-844FD95A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4076</Words>
  <Characters>29670</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33679</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99</cp:revision>
  <cp:lastPrinted>2019-04-17T11:44:00Z</cp:lastPrinted>
  <dcterms:created xsi:type="dcterms:W3CDTF">2021-05-28T09:42:00Z</dcterms:created>
  <dcterms:modified xsi:type="dcterms:W3CDTF">2025-05-29T10:16:00Z</dcterms:modified>
</cp:coreProperties>
</file>