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20767A">
        <w:rPr>
          <w:rFonts w:ascii="Times New Roman" w:hAnsi="Times New Roman"/>
          <w:color w:val="000000"/>
          <w:sz w:val="24"/>
          <w:szCs w:val="20"/>
        </w:rPr>
        <w:t>2</w:t>
      </w:r>
      <w:r w:rsidR="00F04B0E" w:rsidRPr="00F04B0E">
        <w:rPr>
          <w:rFonts w:ascii="Times New Roman" w:hAnsi="Times New Roman"/>
          <w:color w:val="000000"/>
          <w:sz w:val="24"/>
          <w:szCs w:val="20"/>
        </w:rPr>
        <w:t>8</w:t>
      </w:r>
      <w:r w:rsidRPr="00EF2FA7">
        <w:rPr>
          <w:rFonts w:ascii="Times New Roman" w:hAnsi="Times New Roman"/>
          <w:color w:val="000000"/>
          <w:sz w:val="24"/>
          <w:szCs w:val="20"/>
        </w:rPr>
        <w:t>» августа 2019 г.</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EF2FA7" w:rsidRPr="00EF2FA7" w:rsidRDefault="00EF2FA7" w:rsidP="00EF2FA7">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EF2FA7" w:rsidRPr="00EF2FA7" w:rsidRDefault="00EF2FA7" w:rsidP="00EF2FA7">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A45780" w:rsidRDefault="00EF2FA7" w:rsidP="00A45780">
      <w:pPr>
        <w:spacing w:after="0" w:line="240" w:lineRule="auto"/>
        <w:jc w:val="center"/>
        <w:rPr>
          <w:rFonts w:ascii="Times New Roman" w:hAnsi="Times New Roman" w:cs="Times New Roman"/>
          <w:b/>
        </w:rPr>
      </w:pPr>
      <w:r w:rsidRPr="00EF2FA7">
        <w:rPr>
          <w:rFonts w:ascii="Times New Roman" w:hAnsi="Times New Roman" w:cs="Times New Roman"/>
          <w:b/>
        </w:rPr>
        <w:t xml:space="preserve">на </w:t>
      </w:r>
      <w:r w:rsidR="0020767A" w:rsidRPr="0020767A">
        <w:rPr>
          <w:rFonts w:ascii="Times New Roman" w:hAnsi="Times New Roman" w:cs="Times New Roman"/>
          <w:b/>
        </w:rPr>
        <w:t>поставку стальных фланцев</w:t>
      </w:r>
    </w:p>
    <w:p w:rsidR="00EF2FA7" w:rsidRPr="00EF2FA7" w:rsidRDefault="00A45780" w:rsidP="00A45780">
      <w:pPr>
        <w:spacing w:after="0" w:line="240" w:lineRule="auto"/>
        <w:jc w:val="center"/>
        <w:rPr>
          <w:rFonts w:ascii="Times New Roman" w:eastAsiaTheme="minorHAnsi" w:hAnsi="Times New Roman"/>
          <w:sz w:val="24"/>
          <w:szCs w:val="24"/>
          <w:highlight w:val="yellow"/>
          <w:lang w:eastAsia="en-US"/>
        </w:rPr>
      </w:pPr>
      <w:r w:rsidRPr="00A45780">
        <w:rPr>
          <w:rFonts w:ascii="Times New Roman" w:hAnsi="Times New Roman" w:cs="Times New Roman"/>
          <w:b/>
        </w:rPr>
        <w:t>для производственных нужд НТ МУП «Горэнерго-НТ»</w:t>
      </w: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EF2FA7">
          <w:pgSz w:w="11906" w:h="16838"/>
          <w:pgMar w:top="851"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1842"/>
        <w:gridCol w:w="708"/>
        <w:gridCol w:w="2269"/>
        <w:gridCol w:w="851"/>
        <w:gridCol w:w="850"/>
        <w:gridCol w:w="1276"/>
        <w:gridCol w:w="1417"/>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5"/>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5"/>
          </w:tcPr>
          <w:p w:rsidR="003E3FA2" w:rsidRPr="000C70E8" w:rsidRDefault="00857580" w:rsidP="0020767A">
            <w:pPr>
              <w:pStyle w:val="aa"/>
            </w:pPr>
            <w:r>
              <w:t xml:space="preserve">Поставка </w:t>
            </w:r>
            <w:r w:rsidR="0020767A">
              <w:t>стальных фланцев для производственных нужд НТ МУП «Горэнерго-НТ»</w:t>
            </w:r>
          </w:p>
        </w:tc>
      </w:tr>
      <w:tr w:rsidR="00CC2293" w:rsidRPr="000C70E8" w:rsidTr="00A5188F">
        <w:tc>
          <w:tcPr>
            <w:tcW w:w="3702"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3"/>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5"/>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5"/>
          </w:tcPr>
          <w:p w:rsidR="005B0CC6" w:rsidRPr="006C3C12" w:rsidRDefault="002372E8" w:rsidP="00F04B0E">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w:t>
            </w:r>
            <w:r w:rsidR="00F04B0E">
              <w:rPr>
                <w:rFonts w:ascii="Times New Roman" w:hAnsi="Times New Roman" w:cs="Times New Roman"/>
                <w:b/>
                <w:bCs/>
                <w:sz w:val="24"/>
                <w:highlight w:val="yellow"/>
                <w:lang w:val="en-US"/>
              </w:rPr>
              <w:t>8</w:t>
            </w:r>
            <w:r w:rsidR="00E159B2">
              <w:rPr>
                <w:rFonts w:ascii="Times New Roman" w:hAnsi="Times New Roman" w:cs="Times New Roman"/>
                <w:b/>
                <w:bCs/>
                <w:sz w:val="24"/>
                <w:highlight w:val="yellow"/>
              </w:rPr>
              <w:t>.0</w:t>
            </w:r>
            <w:r w:rsidR="002352F4">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5"/>
          </w:tcPr>
          <w:p w:rsidR="006C3C12" w:rsidRPr="00700D12" w:rsidRDefault="002372E8" w:rsidP="00F04B0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w:t>
            </w:r>
            <w:r w:rsidR="00F04B0E">
              <w:rPr>
                <w:rFonts w:ascii="Times New Roman" w:hAnsi="Times New Roman" w:cs="Times New Roman"/>
                <w:b/>
                <w:bCs/>
                <w:sz w:val="24"/>
                <w:highlight w:val="yellow"/>
                <w:lang w:val="en-US"/>
              </w:rPr>
              <w:t>8</w:t>
            </w:r>
            <w:r w:rsidR="00E159B2">
              <w:rPr>
                <w:rFonts w:ascii="Times New Roman" w:hAnsi="Times New Roman" w:cs="Times New Roman"/>
                <w:b/>
                <w:bCs/>
                <w:sz w:val="24"/>
                <w:highlight w:val="yellow"/>
              </w:rPr>
              <w:t>.0</w:t>
            </w:r>
            <w:r w:rsidR="002352F4">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5"/>
          </w:tcPr>
          <w:p w:rsidR="006C3C12" w:rsidRPr="00700D12" w:rsidRDefault="002372E8" w:rsidP="00F04B0E">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0</w:t>
            </w:r>
            <w:r w:rsidR="00F04B0E">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3"/>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5"/>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6D1D56" w:rsidRPr="006D1D56" w:rsidRDefault="00267AC6" w:rsidP="006D1D56">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6D1D56" w:rsidRPr="006D1D56">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устав в действующей редакции;</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w:t>
            </w:r>
            <w:r w:rsidRPr="00267AC6">
              <w:rPr>
                <w:rFonts w:ascii="Times New Roman" w:hAnsi="Times New Roman" w:cs="Times New Roman"/>
                <w:sz w:val="24"/>
              </w:rPr>
              <w:lastRenderedPageBreak/>
              <w:t>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5"/>
          </w:tcPr>
          <w:p w:rsidR="00E02A5F" w:rsidRPr="00A24661" w:rsidRDefault="002372E8" w:rsidP="00F04B0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F04B0E">
              <w:rPr>
                <w:rFonts w:ascii="Times New Roman" w:hAnsi="Times New Roman" w:cs="Times New Roman"/>
                <w:b/>
                <w:bCs/>
                <w:sz w:val="24"/>
                <w:highlight w:val="yellow"/>
                <w:lang w:val="en-US"/>
              </w:rPr>
              <w:t>5</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5"/>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5"/>
          </w:tcPr>
          <w:p w:rsidR="00216B77" w:rsidRDefault="002372E8" w:rsidP="00F04B0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0</w:t>
            </w:r>
            <w:r w:rsidR="00F04B0E">
              <w:rPr>
                <w:rFonts w:ascii="Times New Roman" w:hAnsi="Times New Roman" w:cs="Times New Roman"/>
                <w:b/>
                <w:bCs/>
                <w:sz w:val="24"/>
                <w:highlight w:val="yellow"/>
                <w:lang w:val="en-US"/>
              </w:rPr>
              <w:t>5</w:t>
            </w:r>
            <w:r w:rsidR="00857580">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5"/>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EF2FA7" w:rsidRPr="00EF2FA7" w:rsidRDefault="00EF2FA7" w:rsidP="00EF2FA7">
            <w:pPr>
              <w:spacing w:after="0" w:line="240" w:lineRule="auto"/>
              <w:jc w:val="both"/>
              <w:rPr>
                <w:rFonts w:ascii="Times New Roman" w:hAnsi="Times New Roman"/>
                <w:i/>
                <w:color w:val="632423" w:themeColor="accent2" w:themeShade="80"/>
                <w:sz w:val="24"/>
                <w:szCs w:val="24"/>
              </w:rPr>
            </w:pPr>
            <w:r w:rsidRPr="00EF2FA7">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w:t>
            </w:r>
            <w:r w:rsidRPr="00810EF2">
              <w:rPr>
                <w:rFonts w:ascii="Times New Roman" w:hAnsi="Times New Roman"/>
                <w:sz w:val="24"/>
                <w:szCs w:val="24"/>
              </w:rPr>
              <w:lastRenderedPageBreak/>
              <w:t xml:space="preserve">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A5188F">
        <w:trPr>
          <w:trHeight w:val="488"/>
        </w:trPr>
        <w:tc>
          <w:tcPr>
            <w:tcW w:w="3702"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5"/>
          </w:tcPr>
          <w:p w:rsidR="0020767A" w:rsidRDefault="00451F7A" w:rsidP="00A90F0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412 721</w:t>
            </w:r>
            <w:r w:rsidR="0020767A" w:rsidRPr="0020767A">
              <w:rPr>
                <w:rFonts w:ascii="Times New Roman" w:hAnsi="Times New Roman" w:cs="Times New Roman"/>
                <w:sz w:val="24"/>
              </w:rPr>
              <w:t xml:space="preserve"> </w:t>
            </w:r>
            <w:r w:rsidR="004F2DDB">
              <w:rPr>
                <w:rFonts w:ascii="Times New Roman" w:hAnsi="Times New Roman" w:cs="Times New Roman"/>
                <w:sz w:val="24"/>
              </w:rPr>
              <w:t>(</w:t>
            </w:r>
            <w:r w:rsidRPr="00451F7A">
              <w:rPr>
                <w:rFonts w:ascii="Times New Roman" w:hAnsi="Times New Roman" w:cs="Times New Roman"/>
                <w:sz w:val="24"/>
              </w:rPr>
              <w:t>четыреста двенадцать тысяч семьсот двадцать один</w:t>
            </w:r>
            <w:r>
              <w:rPr>
                <w:rFonts w:ascii="Times New Roman" w:hAnsi="Times New Roman" w:cs="Times New Roman"/>
                <w:sz w:val="24"/>
              </w:rPr>
              <w:t>)</w:t>
            </w:r>
            <w:r w:rsidRPr="00451F7A">
              <w:rPr>
                <w:rFonts w:ascii="Times New Roman" w:hAnsi="Times New Roman" w:cs="Times New Roman"/>
                <w:sz w:val="24"/>
              </w:rPr>
              <w:t xml:space="preserve"> рубль 22 копейки</w:t>
            </w:r>
            <w:r w:rsidR="00936B35" w:rsidRPr="00936B35">
              <w:rPr>
                <w:rFonts w:ascii="Times New Roman" w:hAnsi="Times New Roman" w:cs="Times New Roman"/>
                <w:sz w:val="24"/>
              </w:rPr>
              <w:t xml:space="preserve">, в том числе НДС (20%), </w:t>
            </w:r>
          </w:p>
          <w:p w:rsidR="004F2C07" w:rsidRPr="000C70E8" w:rsidRDefault="00936B35" w:rsidP="00451F7A">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451F7A" w:rsidRPr="00451F7A">
              <w:rPr>
                <w:rFonts w:ascii="Times New Roman" w:hAnsi="Times New Roman" w:cs="Times New Roman"/>
                <w:sz w:val="24"/>
              </w:rPr>
              <w:t xml:space="preserve">343 934 </w:t>
            </w:r>
            <w:r w:rsidRPr="00936B35">
              <w:rPr>
                <w:rFonts w:ascii="Times New Roman" w:hAnsi="Times New Roman" w:cs="Times New Roman"/>
                <w:sz w:val="24"/>
              </w:rPr>
              <w:t>(</w:t>
            </w:r>
            <w:r w:rsidR="00451F7A">
              <w:rPr>
                <w:rFonts w:ascii="Times New Roman" w:hAnsi="Times New Roman" w:cs="Times New Roman"/>
                <w:sz w:val="24"/>
              </w:rPr>
              <w:t>т</w:t>
            </w:r>
            <w:r w:rsidR="00451F7A" w:rsidRPr="00451F7A">
              <w:rPr>
                <w:rFonts w:ascii="Times New Roman" w:hAnsi="Times New Roman" w:cs="Times New Roman"/>
                <w:sz w:val="24"/>
              </w:rPr>
              <w:t>риста сорок три тысячи девятьсот тридцать четыре</w:t>
            </w:r>
            <w:r w:rsidR="00451F7A">
              <w:rPr>
                <w:rFonts w:ascii="Times New Roman" w:hAnsi="Times New Roman" w:cs="Times New Roman"/>
                <w:sz w:val="24"/>
              </w:rPr>
              <w:t>)</w:t>
            </w:r>
            <w:r w:rsidR="00451F7A" w:rsidRPr="00451F7A">
              <w:rPr>
                <w:rFonts w:ascii="Times New Roman" w:hAnsi="Times New Roman" w:cs="Times New Roman"/>
                <w:sz w:val="24"/>
              </w:rPr>
              <w:t xml:space="preserve"> рубля 35 копеек</w:t>
            </w:r>
            <w:r w:rsidRPr="00936B35">
              <w:rPr>
                <w:rFonts w:ascii="Times New Roman" w:hAnsi="Times New Roman" w:cs="Times New Roman"/>
                <w:sz w:val="24"/>
              </w:rPr>
              <w:t>.</w:t>
            </w:r>
          </w:p>
        </w:tc>
      </w:tr>
      <w:tr w:rsidR="00735A07" w:rsidRPr="000C70E8" w:rsidTr="00A5188F">
        <w:tc>
          <w:tcPr>
            <w:tcW w:w="3702"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3"/>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5"/>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5"/>
          </w:tcPr>
          <w:p w:rsidR="0096513B" w:rsidRPr="00626B3F" w:rsidRDefault="001E121A" w:rsidP="0035774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w:t>
            </w:r>
            <w:r w:rsidR="00357740">
              <w:rPr>
                <w:rFonts w:ascii="Times New Roman" w:hAnsi="Times New Roman" w:cs="Times New Roman"/>
                <w:bCs/>
                <w:sz w:val="24"/>
              </w:rPr>
              <w:t>0</w:t>
            </w:r>
            <w:r w:rsidRPr="001E121A">
              <w:rPr>
                <w:rFonts w:ascii="Times New Roman" w:hAnsi="Times New Roman" w:cs="Times New Roman"/>
                <w:bCs/>
                <w:sz w:val="24"/>
              </w:rPr>
              <w:t xml:space="preserve"> (</w:t>
            </w:r>
            <w:r w:rsidR="0035774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2372E8">
        <w:tc>
          <w:tcPr>
            <w:tcW w:w="1152"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Наименование предмета договора</w:t>
            </w:r>
          </w:p>
        </w:tc>
        <w:tc>
          <w:tcPr>
            <w:tcW w:w="1842"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Код по ОКПД</w:t>
            </w:r>
            <w:proofErr w:type="gramStart"/>
            <w:r w:rsidRPr="002372E8">
              <w:rPr>
                <w:rFonts w:ascii="Times New Roman" w:hAnsi="Times New Roman" w:cs="Times New Roman"/>
                <w:b/>
                <w:sz w:val="20"/>
                <w:szCs w:val="20"/>
              </w:rPr>
              <w:t>2</w:t>
            </w:r>
            <w:proofErr w:type="gramEnd"/>
          </w:p>
        </w:tc>
        <w:tc>
          <w:tcPr>
            <w:tcW w:w="2977" w:type="dxa"/>
            <w:gridSpan w:val="2"/>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Код по ОКВЭД</w:t>
            </w:r>
            <w:proofErr w:type="gramStart"/>
            <w:r w:rsidRPr="002372E8">
              <w:rPr>
                <w:rFonts w:ascii="Times New Roman" w:hAnsi="Times New Roman" w:cs="Times New Roman"/>
                <w:b/>
                <w:sz w:val="20"/>
                <w:szCs w:val="20"/>
              </w:rPr>
              <w:t>2</w:t>
            </w:r>
            <w:proofErr w:type="gramEnd"/>
          </w:p>
        </w:tc>
        <w:tc>
          <w:tcPr>
            <w:tcW w:w="851" w:type="dxa"/>
            <w:vAlign w:val="center"/>
          </w:tcPr>
          <w:p w:rsidR="00920543" w:rsidRPr="002372E8" w:rsidRDefault="00920543" w:rsidP="002372E8">
            <w:pPr>
              <w:pStyle w:val="af2"/>
              <w:ind w:left="-62" w:right="-62"/>
              <w:jc w:val="center"/>
              <w:rPr>
                <w:rFonts w:ascii="Times New Roman" w:hAnsi="Times New Roman" w:cs="Times New Roman"/>
                <w:b/>
                <w:sz w:val="20"/>
                <w:szCs w:val="20"/>
              </w:rPr>
            </w:pPr>
            <w:r w:rsidRPr="002372E8">
              <w:rPr>
                <w:rFonts w:ascii="Times New Roman" w:hAnsi="Times New Roman" w:cs="Times New Roman"/>
                <w:b/>
                <w:sz w:val="20"/>
                <w:szCs w:val="20"/>
              </w:rPr>
              <w:t>Единица измерения</w:t>
            </w:r>
          </w:p>
        </w:tc>
        <w:tc>
          <w:tcPr>
            <w:tcW w:w="850"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Количество (объем)</w:t>
            </w:r>
          </w:p>
        </w:tc>
        <w:tc>
          <w:tcPr>
            <w:tcW w:w="1276"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Цена за ед.</w:t>
            </w:r>
            <w:r w:rsidR="009D3916" w:rsidRPr="002372E8">
              <w:rPr>
                <w:rFonts w:ascii="Times New Roman" w:hAnsi="Times New Roman" w:cs="Times New Roman"/>
                <w:b/>
                <w:sz w:val="20"/>
                <w:szCs w:val="20"/>
              </w:rPr>
              <w:t xml:space="preserve"> </w:t>
            </w:r>
            <w:r w:rsidRPr="002372E8">
              <w:rPr>
                <w:rFonts w:ascii="Times New Roman" w:hAnsi="Times New Roman" w:cs="Times New Roman"/>
                <w:b/>
                <w:sz w:val="20"/>
                <w:szCs w:val="20"/>
              </w:rPr>
              <w:t>изм.</w:t>
            </w:r>
            <w:r w:rsidR="009D3916" w:rsidRPr="002372E8">
              <w:rPr>
                <w:rFonts w:ascii="Times New Roman" w:hAnsi="Times New Roman" w:cs="Times New Roman"/>
                <w:b/>
                <w:sz w:val="20"/>
                <w:szCs w:val="20"/>
              </w:rPr>
              <w:t xml:space="preserve"> руб.  с НДС</w:t>
            </w:r>
          </w:p>
        </w:tc>
        <w:tc>
          <w:tcPr>
            <w:tcW w:w="1417"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Стоимость</w:t>
            </w:r>
            <w:r w:rsidR="009D3916" w:rsidRPr="002372E8">
              <w:rPr>
                <w:rFonts w:ascii="Times New Roman" w:hAnsi="Times New Roman" w:cs="Times New Roman"/>
                <w:b/>
                <w:sz w:val="20"/>
                <w:szCs w:val="20"/>
              </w:rPr>
              <w:t xml:space="preserve"> руб. с НДС</w:t>
            </w:r>
          </w:p>
        </w:tc>
      </w:tr>
      <w:tr w:rsidR="00451F7A" w:rsidRPr="000C70E8" w:rsidTr="002372E8">
        <w:trPr>
          <w:trHeight w:val="456"/>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lastRenderedPageBreak/>
              <w:t>Фланец DN50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28.14.20.220 - Фланцы.</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16</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348,78</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5 580,48</w:t>
            </w:r>
          </w:p>
        </w:tc>
      </w:tr>
      <w:tr w:rsidR="00451F7A" w:rsidRPr="000C70E8" w:rsidTr="002372E8">
        <w:trPr>
          <w:trHeight w:val="343"/>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DN80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30</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505,85</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15 175,50</w:t>
            </w:r>
          </w:p>
        </w:tc>
      </w:tr>
      <w:tr w:rsidR="00451F7A" w:rsidRPr="000C70E8" w:rsidTr="002372E8">
        <w:trPr>
          <w:trHeight w:val="381"/>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DN100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22</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641,31</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14 108,82</w:t>
            </w:r>
          </w:p>
        </w:tc>
      </w:tr>
      <w:tr w:rsidR="00451F7A" w:rsidRPr="000C70E8" w:rsidTr="002372E8">
        <w:trPr>
          <w:trHeight w:val="263"/>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DN125</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4</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w:t>
            </w:r>
            <w:r>
              <w:rPr>
                <w:rFonts w:ascii="Times New Roman" w:hAnsi="Times New Roman" w:cs="Times New Roman"/>
              </w:rPr>
              <w:t xml:space="preserve"> </w:t>
            </w:r>
            <w:bookmarkStart w:id="1" w:name="_GoBack"/>
            <w:bookmarkEnd w:id="1"/>
            <w:r w:rsidRPr="00451F7A">
              <w:rPr>
                <w:rFonts w:ascii="Times New Roman" w:hAnsi="Times New Roman" w:cs="Times New Roman"/>
              </w:rPr>
              <w:t>060,29</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4 241,16</w:t>
            </w:r>
          </w:p>
        </w:tc>
      </w:tr>
      <w:tr w:rsidR="00451F7A" w:rsidRPr="000C70E8" w:rsidTr="00451F7A">
        <w:trPr>
          <w:trHeight w:val="443"/>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DN150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22</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w:t>
            </w:r>
            <w:r>
              <w:rPr>
                <w:rFonts w:ascii="Times New Roman" w:hAnsi="Times New Roman" w:cs="Times New Roman"/>
              </w:rPr>
              <w:t xml:space="preserve"> </w:t>
            </w:r>
            <w:r w:rsidRPr="00451F7A">
              <w:rPr>
                <w:rFonts w:ascii="Times New Roman" w:hAnsi="Times New Roman" w:cs="Times New Roman"/>
              </w:rPr>
              <w:t>345,88</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29 609,36</w:t>
            </w:r>
          </w:p>
        </w:tc>
      </w:tr>
      <w:tr w:rsidR="00451F7A" w:rsidRPr="000C70E8" w:rsidTr="002372E8">
        <w:trPr>
          <w:trHeight w:val="69"/>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DN200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38</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w:t>
            </w:r>
            <w:r>
              <w:rPr>
                <w:rFonts w:ascii="Times New Roman" w:hAnsi="Times New Roman" w:cs="Times New Roman"/>
              </w:rPr>
              <w:t xml:space="preserve"> </w:t>
            </w:r>
            <w:r w:rsidRPr="00451F7A">
              <w:rPr>
                <w:rFonts w:ascii="Times New Roman" w:hAnsi="Times New Roman" w:cs="Times New Roman"/>
              </w:rPr>
              <w:t>677,17</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63 732,46</w:t>
            </w:r>
          </w:p>
        </w:tc>
      </w:tr>
      <w:tr w:rsidR="00451F7A" w:rsidRPr="000C70E8" w:rsidTr="002372E8">
        <w:trPr>
          <w:trHeight w:val="392"/>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DN250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16</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2</w:t>
            </w:r>
            <w:r>
              <w:rPr>
                <w:rFonts w:ascii="Times New Roman" w:hAnsi="Times New Roman" w:cs="Times New Roman"/>
              </w:rPr>
              <w:t xml:space="preserve"> </w:t>
            </w:r>
            <w:r w:rsidRPr="00451F7A">
              <w:rPr>
                <w:rFonts w:ascii="Times New Roman" w:hAnsi="Times New Roman" w:cs="Times New Roman"/>
              </w:rPr>
              <w:t>055,63</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32 890,08</w:t>
            </w:r>
          </w:p>
        </w:tc>
      </w:tr>
      <w:tr w:rsidR="00451F7A" w:rsidRPr="000C70E8" w:rsidTr="002372E8">
        <w:trPr>
          <w:trHeight w:val="415"/>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DN300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8</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2</w:t>
            </w:r>
            <w:r>
              <w:rPr>
                <w:rFonts w:ascii="Times New Roman" w:hAnsi="Times New Roman" w:cs="Times New Roman"/>
              </w:rPr>
              <w:t xml:space="preserve"> </w:t>
            </w:r>
            <w:r w:rsidRPr="00451F7A">
              <w:rPr>
                <w:rFonts w:ascii="Times New Roman" w:hAnsi="Times New Roman" w:cs="Times New Roman"/>
              </w:rPr>
              <w:t>463,9</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19 711,20</w:t>
            </w:r>
          </w:p>
        </w:tc>
      </w:tr>
      <w:tr w:rsidR="00451F7A" w:rsidRPr="000C70E8" w:rsidTr="002372E8">
        <w:trPr>
          <w:trHeight w:val="311"/>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DN400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4</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4</w:t>
            </w:r>
            <w:r>
              <w:rPr>
                <w:rFonts w:ascii="Times New Roman" w:hAnsi="Times New Roman" w:cs="Times New Roman"/>
              </w:rPr>
              <w:t xml:space="preserve"> </w:t>
            </w:r>
            <w:r w:rsidRPr="00451F7A">
              <w:rPr>
                <w:rFonts w:ascii="Times New Roman" w:hAnsi="Times New Roman" w:cs="Times New Roman"/>
              </w:rPr>
              <w:t>923,47</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19 693,88</w:t>
            </w:r>
          </w:p>
        </w:tc>
      </w:tr>
      <w:tr w:rsidR="00451F7A" w:rsidRPr="000C70E8" w:rsidTr="002372E8">
        <w:trPr>
          <w:trHeight w:val="207"/>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DN500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12</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6</w:t>
            </w:r>
            <w:r>
              <w:rPr>
                <w:rFonts w:ascii="Times New Roman" w:hAnsi="Times New Roman" w:cs="Times New Roman"/>
              </w:rPr>
              <w:t xml:space="preserve"> </w:t>
            </w:r>
            <w:r w:rsidRPr="00451F7A">
              <w:rPr>
                <w:rFonts w:ascii="Times New Roman" w:hAnsi="Times New Roman" w:cs="Times New Roman"/>
              </w:rPr>
              <w:t>975,97</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83 711,64</w:t>
            </w:r>
          </w:p>
        </w:tc>
      </w:tr>
      <w:tr w:rsidR="00451F7A" w:rsidRPr="000C70E8" w:rsidTr="002372E8">
        <w:trPr>
          <w:trHeight w:val="231"/>
        </w:trPr>
        <w:tc>
          <w:tcPr>
            <w:tcW w:w="1152" w:type="dxa"/>
            <w:vAlign w:val="center"/>
          </w:tcPr>
          <w:p w:rsidR="00451F7A" w:rsidRPr="002372E8" w:rsidRDefault="00451F7A" w:rsidP="002372E8">
            <w:pPr>
              <w:pStyle w:val="af2"/>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Фланец DN700</w:t>
            </w:r>
          </w:p>
        </w:tc>
        <w:tc>
          <w:tcPr>
            <w:tcW w:w="1842" w:type="dxa"/>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 xml:space="preserve">28.14.20.220 - Фланцы. </w:t>
            </w:r>
          </w:p>
        </w:tc>
        <w:tc>
          <w:tcPr>
            <w:tcW w:w="2977" w:type="dxa"/>
            <w:gridSpan w:val="2"/>
            <w:vAlign w:val="center"/>
          </w:tcPr>
          <w:p w:rsidR="00451F7A" w:rsidRPr="002372E8" w:rsidRDefault="00451F7A" w:rsidP="002372E8">
            <w:pPr>
              <w:pStyle w:val="af2"/>
              <w:rPr>
                <w:rFonts w:ascii="Times New Roman" w:hAnsi="Times New Roman" w:cs="Times New Roman"/>
                <w:sz w:val="20"/>
                <w:szCs w:val="20"/>
              </w:rPr>
            </w:pPr>
            <w:r w:rsidRPr="002372E8">
              <w:rPr>
                <w:rFonts w:ascii="Times New Roman" w:hAnsi="Times New Roman" w:cs="Times New Roman"/>
                <w:sz w:val="20"/>
                <w:szCs w:val="20"/>
              </w:rPr>
              <w:t>28.14 - Производство арматуры трубопроводной (арматуры)</w:t>
            </w:r>
          </w:p>
        </w:tc>
        <w:tc>
          <w:tcPr>
            <w:tcW w:w="851" w:type="dxa"/>
            <w:vAlign w:val="center"/>
          </w:tcPr>
          <w:p w:rsidR="00451F7A" w:rsidRPr="002372E8" w:rsidRDefault="00451F7A" w:rsidP="002372E8">
            <w:pPr>
              <w:pStyle w:val="af2"/>
              <w:jc w:val="center"/>
              <w:rPr>
                <w:rFonts w:ascii="Times New Roman" w:hAnsi="Times New Roman" w:cs="Times New Roman"/>
                <w:sz w:val="20"/>
                <w:szCs w:val="20"/>
              </w:rPr>
            </w:pPr>
            <w:r w:rsidRPr="002372E8">
              <w:rPr>
                <w:rFonts w:ascii="Times New Roman" w:hAnsi="Times New Roman" w:cs="Times New Roman"/>
                <w:sz w:val="20"/>
                <w:szCs w:val="20"/>
              </w:rPr>
              <w:t>Шт.</w:t>
            </w:r>
          </w:p>
        </w:tc>
        <w:tc>
          <w:tcPr>
            <w:tcW w:w="850" w:type="dxa"/>
            <w:vAlign w:val="center"/>
          </w:tcPr>
          <w:p w:rsidR="00451F7A" w:rsidRPr="002372E8" w:rsidRDefault="00451F7A" w:rsidP="002372E8">
            <w:pPr>
              <w:pStyle w:val="af2"/>
              <w:jc w:val="center"/>
              <w:rPr>
                <w:rFonts w:ascii="Times New Roman" w:hAnsi="Times New Roman" w:cs="Times New Roman"/>
                <w:sz w:val="20"/>
                <w:szCs w:val="20"/>
                <w:shd w:val="clear" w:color="auto" w:fill="FFFFFF"/>
              </w:rPr>
            </w:pPr>
            <w:r w:rsidRPr="002372E8">
              <w:rPr>
                <w:rFonts w:ascii="Times New Roman" w:hAnsi="Times New Roman" w:cs="Times New Roman"/>
                <w:sz w:val="20"/>
                <w:szCs w:val="20"/>
                <w:shd w:val="clear" w:color="auto" w:fill="FFFFFF"/>
              </w:rPr>
              <w:t>8</w:t>
            </w:r>
          </w:p>
        </w:tc>
        <w:tc>
          <w:tcPr>
            <w:tcW w:w="1276"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15</w:t>
            </w:r>
            <w:r>
              <w:rPr>
                <w:rFonts w:ascii="Times New Roman" w:hAnsi="Times New Roman" w:cs="Times New Roman"/>
              </w:rPr>
              <w:t xml:space="preserve"> </w:t>
            </w:r>
            <w:r w:rsidRPr="00451F7A">
              <w:rPr>
                <w:rFonts w:ascii="Times New Roman" w:hAnsi="Times New Roman" w:cs="Times New Roman"/>
              </w:rPr>
              <w:t>533,33</w:t>
            </w:r>
          </w:p>
        </w:tc>
        <w:tc>
          <w:tcPr>
            <w:tcW w:w="1417" w:type="dxa"/>
            <w:vAlign w:val="center"/>
          </w:tcPr>
          <w:p w:rsidR="00451F7A" w:rsidRPr="00451F7A" w:rsidRDefault="00451F7A" w:rsidP="00451F7A">
            <w:pPr>
              <w:pStyle w:val="af2"/>
              <w:jc w:val="right"/>
              <w:rPr>
                <w:rFonts w:ascii="Times New Roman" w:hAnsi="Times New Roman" w:cs="Times New Roman"/>
              </w:rPr>
            </w:pPr>
            <w:r w:rsidRPr="00451F7A">
              <w:rPr>
                <w:rFonts w:ascii="Times New Roman" w:hAnsi="Times New Roman" w:cs="Times New Roman"/>
              </w:rPr>
              <w:t>124 266,64</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3"/>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5"/>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заявки  </w:t>
            </w:r>
          </w:p>
        </w:tc>
        <w:tc>
          <w:tcPr>
            <w:tcW w:w="6663"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 xml:space="preserve">обедитель </w:t>
            </w:r>
            <w:r w:rsidRPr="00B516B7">
              <w:rPr>
                <w:rFonts w:ascii="Times New Roman" w:eastAsia="Calibri" w:hAnsi="Times New Roman" w:cs="Times New Roman"/>
                <w:sz w:val="24"/>
                <w:szCs w:val="24"/>
                <w:lang w:eastAsia="en-US"/>
              </w:rPr>
              <w:lastRenderedPageBreak/>
              <w:t>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5"/>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58" w:rsidRDefault="00834558">
      <w:pPr>
        <w:spacing w:after="0" w:line="240" w:lineRule="auto"/>
      </w:pPr>
      <w:r>
        <w:separator/>
      </w:r>
    </w:p>
  </w:endnote>
  <w:endnote w:type="continuationSeparator" w:id="0">
    <w:p w:rsidR="00834558" w:rsidRDefault="0083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58" w:rsidRDefault="00834558">
      <w:pPr>
        <w:spacing w:after="0" w:line="240" w:lineRule="auto"/>
      </w:pPr>
      <w:r>
        <w:separator/>
      </w:r>
    </w:p>
  </w:footnote>
  <w:footnote w:type="continuationSeparator" w:id="0">
    <w:p w:rsidR="00834558" w:rsidRDefault="00834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15B04"/>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37D36"/>
    <w:rsid w:val="001423A7"/>
    <w:rsid w:val="00144DDF"/>
    <w:rsid w:val="0014704E"/>
    <w:rsid w:val="00156B39"/>
    <w:rsid w:val="00164C3E"/>
    <w:rsid w:val="001668AD"/>
    <w:rsid w:val="00167B0E"/>
    <w:rsid w:val="00181CF6"/>
    <w:rsid w:val="0019101D"/>
    <w:rsid w:val="001952B2"/>
    <w:rsid w:val="00195D0E"/>
    <w:rsid w:val="0019734F"/>
    <w:rsid w:val="001A0B7C"/>
    <w:rsid w:val="001A2B51"/>
    <w:rsid w:val="001B187B"/>
    <w:rsid w:val="001B4A76"/>
    <w:rsid w:val="001D1B58"/>
    <w:rsid w:val="001E121A"/>
    <w:rsid w:val="001F692B"/>
    <w:rsid w:val="001F76C1"/>
    <w:rsid w:val="00202B8C"/>
    <w:rsid w:val="0020767A"/>
    <w:rsid w:val="00216B77"/>
    <w:rsid w:val="002234FF"/>
    <w:rsid w:val="002352F4"/>
    <w:rsid w:val="002372E8"/>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945"/>
    <w:rsid w:val="002E6CEA"/>
    <w:rsid w:val="002F17E1"/>
    <w:rsid w:val="002F6441"/>
    <w:rsid w:val="00310BA5"/>
    <w:rsid w:val="00330BB0"/>
    <w:rsid w:val="003317CB"/>
    <w:rsid w:val="00341777"/>
    <w:rsid w:val="0034402D"/>
    <w:rsid w:val="0034665E"/>
    <w:rsid w:val="00357740"/>
    <w:rsid w:val="003648AB"/>
    <w:rsid w:val="00367059"/>
    <w:rsid w:val="003866CE"/>
    <w:rsid w:val="003B2F4C"/>
    <w:rsid w:val="003B37F8"/>
    <w:rsid w:val="003C0B8F"/>
    <w:rsid w:val="003C4862"/>
    <w:rsid w:val="003C534F"/>
    <w:rsid w:val="003D09ED"/>
    <w:rsid w:val="003D5D27"/>
    <w:rsid w:val="003D6ECB"/>
    <w:rsid w:val="003E3FA2"/>
    <w:rsid w:val="00404C41"/>
    <w:rsid w:val="0040512C"/>
    <w:rsid w:val="00423818"/>
    <w:rsid w:val="00427673"/>
    <w:rsid w:val="00435151"/>
    <w:rsid w:val="00441F72"/>
    <w:rsid w:val="00451F7A"/>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2DDB"/>
    <w:rsid w:val="004F58DF"/>
    <w:rsid w:val="005042C8"/>
    <w:rsid w:val="0052270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85E"/>
    <w:rsid w:val="006C3C12"/>
    <w:rsid w:val="006D0789"/>
    <w:rsid w:val="006D14BE"/>
    <w:rsid w:val="006D1D56"/>
    <w:rsid w:val="006D7558"/>
    <w:rsid w:val="006D7693"/>
    <w:rsid w:val="006F27F7"/>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1367B"/>
    <w:rsid w:val="008315AB"/>
    <w:rsid w:val="00834558"/>
    <w:rsid w:val="00851F63"/>
    <w:rsid w:val="00853FB7"/>
    <w:rsid w:val="00856B14"/>
    <w:rsid w:val="00857580"/>
    <w:rsid w:val="008624F0"/>
    <w:rsid w:val="00886812"/>
    <w:rsid w:val="00891547"/>
    <w:rsid w:val="008A369C"/>
    <w:rsid w:val="008B205B"/>
    <w:rsid w:val="008C312F"/>
    <w:rsid w:val="008D0B85"/>
    <w:rsid w:val="008E7BE4"/>
    <w:rsid w:val="008F332E"/>
    <w:rsid w:val="00912F3E"/>
    <w:rsid w:val="00913072"/>
    <w:rsid w:val="00914379"/>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4C5C"/>
    <w:rsid w:val="00A0757F"/>
    <w:rsid w:val="00A158A2"/>
    <w:rsid w:val="00A21CBF"/>
    <w:rsid w:val="00A24661"/>
    <w:rsid w:val="00A405F0"/>
    <w:rsid w:val="00A44B5B"/>
    <w:rsid w:val="00A45780"/>
    <w:rsid w:val="00A5188F"/>
    <w:rsid w:val="00A52AC4"/>
    <w:rsid w:val="00A56A71"/>
    <w:rsid w:val="00A56D55"/>
    <w:rsid w:val="00A571C8"/>
    <w:rsid w:val="00A63620"/>
    <w:rsid w:val="00A80805"/>
    <w:rsid w:val="00A83DB7"/>
    <w:rsid w:val="00A83E09"/>
    <w:rsid w:val="00A84935"/>
    <w:rsid w:val="00A90F05"/>
    <w:rsid w:val="00A92323"/>
    <w:rsid w:val="00AA00C9"/>
    <w:rsid w:val="00AA2219"/>
    <w:rsid w:val="00AA49EC"/>
    <w:rsid w:val="00AB19F2"/>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4B78"/>
    <w:rsid w:val="00BF6BE0"/>
    <w:rsid w:val="00C02E0D"/>
    <w:rsid w:val="00C074B3"/>
    <w:rsid w:val="00C116CE"/>
    <w:rsid w:val="00C33584"/>
    <w:rsid w:val="00C33626"/>
    <w:rsid w:val="00C359AB"/>
    <w:rsid w:val="00C51263"/>
    <w:rsid w:val="00C51440"/>
    <w:rsid w:val="00C57527"/>
    <w:rsid w:val="00C63322"/>
    <w:rsid w:val="00C6763F"/>
    <w:rsid w:val="00C81518"/>
    <w:rsid w:val="00C91CBC"/>
    <w:rsid w:val="00C93E1E"/>
    <w:rsid w:val="00C96887"/>
    <w:rsid w:val="00CA3C3E"/>
    <w:rsid w:val="00CA5E49"/>
    <w:rsid w:val="00CA7544"/>
    <w:rsid w:val="00CC0647"/>
    <w:rsid w:val="00CC2293"/>
    <w:rsid w:val="00CC2973"/>
    <w:rsid w:val="00CD320F"/>
    <w:rsid w:val="00CE156A"/>
    <w:rsid w:val="00CE245A"/>
    <w:rsid w:val="00CE3780"/>
    <w:rsid w:val="00CF6ACF"/>
    <w:rsid w:val="00D029BC"/>
    <w:rsid w:val="00D12086"/>
    <w:rsid w:val="00D13443"/>
    <w:rsid w:val="00D16647"/>
    <w:rsid w:val="00D1739E"/>
    <w:rsid w:val="00D22D36"/>
    <w:rsid w:val="00D25F4D"/>
    <w:rsid w:val="00D31767"/>
    <w:rsid w:val="00D47009"/>
    <w:rsid w:val="00D619A3"/>
    <w:rsid w:val="00D673EB"/>
    <w:rsid w:val="00D851C1"/>
    <w:rsid w:val="00D91126"/>
    <w:rsid w:val="00D919BA"/>
    <w:rsid w:val="00DA6C44"/>
    <w:rsid w:val="00DB1448"/>
    <w:rsid w:val="00DB2D63"/>
    <w:rsid w:val="00DC31D7"/>
    <w:rsid w:val="00DD1EF9"/>
    <w:rsid w:val="00DD2A19"/>
    <w:rsid w:val="00DE03BA"/>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D35D9"/>
    <w:rsid w:val="00EE7646"/>
    <w:rsid w:val="00EF2FA7"/>
    <w:rsid w:val="00EF50FA"/>
    <w:rsid w:val="00F004A2"/>
    <w:rsid w:val="00F0076E"/>
    <w:rsid w:val="00F03080"/>
    <w:rsid w:val="00F03777"/>
    <w:rsid w:val="00F044AA"/>
    <w:rsid w:val="00F04B0E"/>
    <w:rsid w:val="00F12934"/>
    <w:rsid w:val="00F35B37"/>
    <w:rsid w:val="00F42199"/>
    <w:rsid w:val="00F6579D"/>
    <w:rsid w:val="00F730D0"/>
    <w:rsid w:val="00F8085E"/>
    <w:rsid w:val="00F8235D"/>
    <w:rsid w:val="00F82D65"/>
    <w:rsid w:val="00FA0702"/>
    <w:rsid w:val="00FA21D3"/>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cp:revision>
  <cp:lastPrinted>2019-08-26T11:50:00Z</cp:lastPrinted>
  <dcterms:created xsi:type="dcterms:W3CDTF">2019-08-29T05:49:00Z</dcterms:created>
  <dcterms:modified xsi:type="dcterms:W3CDTF">2019-08-29T05:49:00Z</dcterms:modified>
</cp:coreProperties>
</file>